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26" w:rsidRPr="007B60CC" w:rsidRDefault="00C5666B" w:rsidP="009126DB">
      <w:pPr>
        <w:jc w:val="both"/>
        <w:rPr>
          <w:b/>
        </w:rPr>
      </w:pPr>
      <w:r w:rsidRPr="007B60CC">
        <w:rPr>
          <w:b/>
        </w:rPr>
        <w:t xml:space="preserve">Διευκρινίσεις </w:t>
      </w:r>
      <w:r w:rsidR="009E4FB2">
        <w:rPr>
          <w:b/>
        </w:rPr>
        <w:t>σε σχέση με την συμπ</w:t>
      </w:r>
      <w:r w:rsidR="009126DB">
        <w:rPr>
          <w:b/>
        </w:rPr>
        <w:t>λήρωση των Προτύπων Εγγράφων Προϋπολογισμού</w:t>
      </w:r>
      <w:r w:rsidR="009E4FB2">
        <w:rPr>
          <w:b/>
        </w:rPr>
        <w:t xml:space="preserve"> 2015 των Κοινοτικών Συμβουλίων</w:t>
      </w:r>
    </w:p>
    <w:p w:rsidR="00C5666B" w:rsidRDefault="00C5666B">
      <w:pPr>
        <w:rPr>
          <w:sz w:val="22"/>
          <w:szCs w:val="22"/>
        </w:rPr>
      </w:pPr>
    </w:p>
    <w:p w:rsidR="00C5666B" w:rsidRDefault="00565F94" w:rsidP="007B60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E4FB2">
        <w:rPr>
          <w:sz w:val="22"/>
          <w:szCs w:val="22"/>
        </w:rPr>
        <w:t xml:space="preserve">Πως </w:t>
      </w:r>
      <w:r w:rsidR="005171BE">
        <w:rPr>
          <w:sz w:val="22"/>
          <w:szCs w:val="22"/>
        </w:rPr>
        <w:t xml:space="preserve">τυγχάνουν </w:t>
      </w:r>
      <w:r w:rsidR="009E4FB2">
        <w:rPr>
          <w:sz w:val="22"/>
          <w:szCs w:val="22"/>
        </w:rPr>
        <w:t>χειρ</w:t>
      </w:r>
      <w:r w:rsidR="005171BE">
        <w:rPr>
          <w:sz w:val="22"/>
          <w:szCs w:val="22"/>
        </w:rPr>
        <w:t>ισμού</w:t>
      </w:r>
      <w:r w:rsidR="009E4FB2">
        <w:rPr>
          <w:sz w:val="22"/>
          <w:szCs w:val="22"/>
        </w:rPr>
        <w:t xml:space="preserve"> τυχόν </w:t>
      </w:r>
      <w:r w:rsidR="005171BE">
        <w:rPr>
          <w:sz w:val="22"/>
          <w:szCs w:val="22"/>
        </w:rPr>
        <w:t>αφ</w:t>
      </w:r>
      <w:r w:rsidR="00B118B0">
        <w:rPr>
          <w:sz w:val="22"/>
          <w:szCs w:val="22"/>
        </w:rPr>
        <w:t xml:space="preserve">αιρέσεις (συμψηφισμοί) που γίνονται από </w:t>
      </w:r>
      <w:r w:rsidR="009E4FB2">
        <w:rPr>
          <w:sz w:val="22"/>
          <w:szCs w:val="22"/>
        </w:rPr>
        <w:t>την Κρατική Χορηγία</w:t>
      </w:r>
      <w:r w:rsidR="00B118B0">
        <w:rPr>
          <w:sz w:val="22"/>
          <w:szCs w:val="22"/>
        </w:rPr>
        <w:t xml:space="preserve"> για πληρωμή οφειλών του Κοινοτικού Συμβουλίου σε κυβερνητικές υπηρεσίες ή για καθυστερημένες δόσεις δανείων</w:t>
      </w:r>
      <w:r w:rsidR="00EE0AAE">
        <w:rPr>
          <w:sz w:val="22"/>
          <w:szCs w:val="22"/>
        </w:rPr>
        <w:t>;</w:t>
      </w:r>
    </w:p>
    <w:p w:rsidR="00EE0AAE" w:rsidRDefault="00EE0AAE" w:rsidP="007B60CC">
      <w:pPr>
        <w:jc w:val="both"/>
        <w:rPr>
          <w:sz w:val="22"/>
          <w:szCs w:val="22"/>
        </w:rPr>
      </w:pPr>
    </w:p>
    <w:p w:rsidR="00BE062E" w:rsidRDefault="00B118B0" w:rsidP="007B60CC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Ολόκληρο τ</w:t>
      </w:r>
      <w:r w:rsidR="009E4FB2">
        <w:rPr>
          <w:color w:val="365F91" w:themeColor="accent1" w:themeShade="BF"/>
          <w:sz w:val="22"/>
          <w:szCs w:val="22"/>
        </w:rPr>
        <w:t xml:space="preserve">ο ποσό της </w:t>
      </w:r>
      <w:r w:rsidR="00F94458">
        <w:rPr>
          <w:color w:val="365F91" w:themeColor="accent1" w:themeShade="BF"/>
          <w:sz w:val="22"/>
          <w:szCs w:val="22"/>
        </w:rPr>
        <w:t xml:space="preserve">χορηγίας </w:t>
      </w:r>
      <w:r>
        <w:rPr>
          <w:color w:val="365F91" w:themeColor="accent1" w:themeShade="BF"/>
          <w:sz w:val="22"/>
          <w:szCs w:val="22"/>
        </w:rPr>
        <w:t xml:space="preserve">θα πρέπει </w:t>
      </w:r>
      <w:r w:rsidR="00F94458">
        <w:rPr>
          <w:color w:val="365F91" w:themeColor="accent1" w:themeShade="BF"/>
          <w:sz w:val="22"/>
          <w:szCs w:val="22"/>
        </w:rPr>
        <w:t>αναγνωρίζεται στ</w:t>
      </w:r>
      <w:r w:rsidR="005171BE">
        <w:rPr>
          <w:color w:val="365F91" w:themeColor="accent1" w:themeShade="BF"/>
          <w:sz w:val="22"/>
          <w:szCs w:val="22"/>
        </w:rPr>
        <w:t>ο</w:t>
      </w:r>
      <w:r w:rsidR="00F94458">
        <w:rPr>
          <w:color w:val="365F91" w:themeColor="accent1" w:themeShade="BF"/>
          <w:sz w:val="22"/>
          <w:szCs w:val="22"/>
        </w:rPr>
        <w:t xml:space="preserve">ν </w:t>
      </w:r>
      <w:r w:rsidR="00BE2A52" w:rsidRPr="00BE2A52">
        <w:rPr>
          <w:i/>
          <w:color w:val="365F91" w:themeColor="accent1" w:themeShade="BF"/>
          <w:sz w:val="22"/>
          <w:szCs w:val="22"/>
        </w:rPr>
        <w:t>Πίνακα Α2 Εισπράξεις</w:t>
      </w:r>
      <w:r w:rsidR="009E4FB2">
        <w:rPr>
          <w:color w:val="365F91" w:themeColor="accent1" w:themeShade="BF"/>
          <w:sz w:val="22"/>
          <w:szCs w:val="22"/>
        </w:rPr>
        <w:t xml:space="preserve"> χωρίς να ληφθεί υπόψη ο οποιοσδήποτε συμψηφισμός. Το έξοδο που </w:t>
      </w:r>
      <w:r>
        <w:rPr>
          <w:color w:val="365F91" w:themeColor="accent1" w:themeShade="BF"/>
          <w:sz w:val="22"/>
          <w:szCs w:val="22"/>
        </w:rPr>
        <w:t xml:space="preserve">πληρώθηκε </w:t>
      </w:r>
      <w:r w:rsidR="009E4FB2">
        <w:rPr>
          <w:color w:val="365F91" w:themeColor="accent1" w:themeShade="BF"/>
          <w:sz w:val="22"/>
          <w:szCs w:val="22"/>
        </w:rPr>
        <w:t xml:space="preserve">με τον υπό αναφορά συμψηφισμό </w:t>
      </w:r>
      <w:r w:rsidR="00BC6877">
        <w:rPr>
          <w:color w:val="365F91" w:themeColor="accent1" w:themeShade="BF"/>
          <w:sz w:val="22"/>
          <w:szCs w:val="22"/>
        </w:rPr>
        <w:t xml:space="preserve">θα </w:t>
      </w:r>
      <w:r w:rsidR="009E4FB2">
        <w:rPr>
          <w:color w:val="365F91" w:themeColor="accent1" w:themeShade="BF"/>
          <w:sz w:val="22"/>
          <w:szCs w:val="22"/>
        </w:rPr>
        <w:t>παρουσιάζεται στη</w:t>
      </w:r>
      <w:r w:rsidR="00F94458">
        <w:rPr>
          <w:color w:val="365F91" w:themeColor="accent1" w:themeShade="BF"/>
          <w:sz w:val="22"/>
          <w:szCs w:val="22"/>
        </w:rPr>
        <w:t>ν κατάλληλη κατηγορία τ</w:t>
      </w:r>
      <w:r>
        <w:rPr>
          <w:color w:val="365F91" w:themeColor="accent1" w:themeShade="BF"/>
          <w:sz w:val="22"/>
          <w:szCs w:val="22"/>
        </w:rPr>
        <w:t>ου</w:t>
      </w:r>
      <w:r w:rsidR="00F94458">
        <w:rPr>
          <w:color w:val="365F91" w:themeColor="accent1" w:themeShade="BF"/>
          <w:sz w:val="22"/>
          <w:szCs w:val="22"/>
        </w:rPr>
        <w:t xml:space="preserve"> </w:t>
      </w:r>
      <w:r w:rsidR="00BE2A52" w:rsidRPr="00BE2A52">
        <w:rPr>
          <w:i/>
          <w:color w:val="365F91" w:themeColor="accent1" w:themeShade="BF"/>
          <w:sz w:val="22"/>
          <w:szCs w:val="22"/>
        </w:rPr>
        <w:t>Πίνακα Α3 Πληρωμές</w:t>
      </w:r>
      <w:r>
        <w:rPr>
          <w:color w:val="365F91" w:themeColor="accent1" w:themeShade="BF"/>
          <w:sz w:val="22"/>
          <w:szCs w:val="22"/>
        </w:rPr>
        <w:t>.</w:t>
      </w:r>
    </w:p>
    <w:p w:rsidR="009E4FB2" w:rsidRDefault="009E4FB2" w:rsidP="007B60CC">
      <w:pPr>
        <w:jc w:val="both"/>
        <w:rPr>
          <w:sz w:val="22"/>
          <w:szCs w:val="22"/>
        </w:rPr>
      </w:pPr>
    </w:p>
    <w:p w:rsidR="00BE062E" w:rsidRDefault="00BE062E" w:rsidP="007B60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E4FB2">
        <w:rPr>
          <w:sz w:val="22"/>
          <w:szCs w:val="22"/>
        </w:rPr>
        <w:t>Που παρουσιάζονται τυχόν μετρητά που βρίσκονται στο Ταμείο της Κοινότητας κατά την 31</w:t>
      </w:r>
      <w:r w:rsidR="009E4FB2" w:rsidRPr="009E4FB2">
        <w:rPr>
          <w:sz w:val="22"/>
          <w:szCs w:val="22"/>
          <w:vertAlign w:val="superscript"/>
        </w:rPr>
        <w:t>η</w:t>
      </w:r>
      <w:r w:rsidR="009E4FB2">
        <w:rPr>
          <w:sz w:val="22"/>
          <w:szCs w:val="22"/>
        </w:rPr>
        <w:t xml:space="preserve"> Δεκεμβρίου</w:t>
      </w:r>
      <w:r>
        <w:rPr>
          <w:sz w:val="22"/>
          <w:szCs w:val="22"/>
        </w:rPr>
        <w:t>;</w:t>
      </w:r>
    </w:p>
    <w:p w:rsidR="00BE062E" w:rsidRDefault="00BE062E" w:rsidP="007B60CC">
      <w:pPr>
        <w:jc w:val="both"/>
        <w:rPr>
          <w:sz w:val="22"/>
          <w:szCs w:val="22"/>
        </w:rPr>
      </w:pPr>
    </w:p>
    <w:p w:rsidR="00BE062E" w:rsidRPr="007E1D35" w:rsidRDefault="009E4FB2" w:rsidP="007B60CC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Τυχόν μετρητά που βρίσκονται στην κατοχή του ΚΣ κατά το τέλος του έτους θα πρέπει να περιληφθούν σε ξεχωριστή </w:t>
      </w:r>
      <w:r w:rsidR="00F94458">
        <w:rPr>
          <w:color w:val="365F91" w:themeColor="accent1" w:themeShade="BF"/>
          <w:sz w:val="22"/>
          <w:szCs w:val="22"/>
        </w:rPr>
        <w:t xml:space="preserve">γραμμή </w:t>
      </w:r>
      <w:r w:rsidR="007E1D35">
        <w:rPr>
          <w:color w:val="365F91" w:themeColor="accent1" w:themeShade="BF"/>
          <w:sz w:val="22"/>
          <w:szCs w:val="22"/>
        </w:rPr>
        <w:t xml:space="preserve">της κατάστασης </w:t>
      </w:r>
      <w:r w:rsidR="00BE2A52" w:rsidRPr="00BE2A52">
        <w:rPr>
          <w:i/>
          <w:color w:val="365F91" w:themeColor="accent1" w:themeShade="BF"/>
          <w:sz w:val="22"/>
          <w:szCs w:val="22"/>
        </w:rPr>
        <w:t>Τραπεζικοί Λογαριασμοί που χρησιμοποιούνται για Λειτουργικούς Σκοπούς</w:t>
      </w:r>
      <w:r w:rsidR="00F94458">
        <w:rPr>
          <w:color w:val="365F91" w:themeColor="accent1" w:themeShade="BF"/>
          <w:sz w:val="22"/>
          <w:szCs w:val="22"/>
        </w:rPr>
        <w:t>, τ</w:t>
      </w:r>
      <w:r w:rsidR="007E1D35">
        <w:rPr>
          <w:color w:val="365F91" w:themeColor="accent1" w:themeShade="BF"/>
          <w:sz w:val="22"/>
          <w:szCs w:val="22"/>
        </w:rPr>
        <w:t>ου</w:t>
      </w:r>
      <w:r w:rsidR="00F94458">
        <w:rPr>
          <w:color w:val="365F91" w:themeColor="accent1" w:themeShade="BF"/>
          <w:sz w:val="22"/>
          <w:szCs w:val="22"/>
        </w:rPr>
        <w:t xml:space="preserve"> </w:t>
      </w:r>
      <w:r w:rsidR="00BE2A52" w:rsidRPr="00BE2A52">
        <w:rPr>
          <w:i/>
          <w:color w:val="365F91" w:themeColor="accent1" w:themeShade="BF"/>
          <w:sz w:val="22"/>
          <w:szCs w:val="22"/>
        </w:rPr>
        <w:t>Πίνακα Α5 Τραπεζικοί Λογαριασμοί</w:t>
      </w:r>
      <w:r w:rsidR="007E1D35">
        <w:rPr>
          <w:color w:val="365F91" w:themeColor="accent1" w:themeShade="BF"/>
          <w:sz w:val="22"/>
          <w:szCs w:val="22"/>
        </w:rPr>
        <w:t>.</w:t>
      </w:r>
    </w:p>
    <w:p w:rsidR="007B60CC" w:rsidRPr="007B60CC" w:rsidRDefault="007B60CC" w:rsidP="007B60CC">
      <w:pPr>
        <w:jc w:val="both"/>
        <w:rPr>
          <w:sz w:val="22"/>
          <w:szCs w:val="22"/>
        </w:rPr>
      </w:pPr>
    </w:p>
    <w:p w:rsidR="007768DA" w:rsidRDefault="007768DA" w:rsidP="007B60CC">
      <w:pPr>
        <w:jc w:val="both"/>
        <w:rPr>
          <w:sz w:val="22"/>
          <w:szCs w:val="22"/>
        </w:rPr>
      </w:pPr>
      <w:r w:rsidRPr="007768DA">
        <w:rPr>
          <w:sz w:val="22"/>
          <w:szCs w:val="22"/>
        </w:rPr>
        <w:t xml:space="preserve">3. </w:t>
      </w:r>
      <w:r w:rsidR="007E1D35">
        <w:rPr>
          <w:sz w:val="22"/>
          <w:szCs w:val="22"/>
        </w:rPr>
        <w:t xml:space="preserve">Διευκρινίσεις σχετικά με τον </w:t>
      </w:r>
      <w:r w:rsidR="00BE2A52" w:rsidRPr="00BE2A52">
        <w:rPr>
          <w:i/>
          <w:sz w:val="22"/>
          <w:szCs w:val="22"/>
        </w:rPr>
        <w:t>Πίνακα Α3 Πληρωμές</w:t>
      </w:r>
    </w:p>
    <w:p w:rsidR="007768DA" w:rsidRDefault="007768DA" w:rsidP="007B60CC">
      <w:pPr>
        <w:jc w:val="both"/>
        <w:rPr>
          <w:sz w:val="22"/>
          <w:szCs w:val="22"/>
        </w:rPr>
      </w:pPr>
    </w:p>
    <w:p w:rsidR="00423152" w:rsidRDefault="00B85A59" w:rsidP="007B60CC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(α) </w:t>
      </w:r>
      <w:r w:rsidR="00423152">
        <w:rPr>
          <w:color w:val="365F91" w:themeColor="accent1" w:themeShade="BF"/>
          <w:sz w:val="22"/>
          <w:szCs w:val="22"/>
        </w:rPr>
        <w:t>Διευκρινίζεται ότι στην γραμμή «Εισφορές στο Ταμείο Κοινωνικών Ασφαλίσεων» καταχωρούνται μόνο οι εισφορές του ΚΣ για τους υπαλλήλους στο Ταμείο Κοινωνικών Ασφαλίσεων. Στο ποσό αυτό δεν</w:t>
      </w:r>
      <w:r w:rsidR="007E1D35">
        <w:rPr>
          <w:color w:val="365F91" w:themeColor="accent1" w:themeShade="BF"/>
          <w:sz w:val="22"/>
          <w:szCs w:val="22"/>
        </w:rPr>
        <w:t xml:space="preserve"> πρέπει να</w:t>
      </w:r>
      <w:r w:rsidR="00423152">
        <w:rPr>
          <w:color w:val="365F91" w:themeColor="accent1" w:themeShade="BF"/>
          <w:sz w:val="22"/>
          <w:szCs w:val="22"/>
        </w:rPr>
        <w:t xml:space="preserve"> συμπεριλαμβάνονται οι αποκοπές που γίνονται από τους μισθούς των υπαλλήλων</w:t>
      </w:r>
      <w:r w:rsidR="007E1D35">
        <w:rPr>
          <w:color w:val="365F91" w:themeColor="accent1" w:themeShade="BF"/>
          <w:sz w:val="22"/>
          <w:szCs w:val="22"/>
        </w:rPr>
        <w:t xml:space="preserve"> για τη δική τους συνεισφορά στο Ταμείο Κοινωνικών Ασφαλίσεων</w:t>
      </w:r>
      <w:r w:rsidR="00423152">
        <w:rPr>
          <w:color w:val="365F91" w:themeColor="accent1" w:themeShade="BF"/>
          <w:sz w:val="22"/>
          <w:szCs w:val="22"/>
        </w:rPr>
        <w:t>.</w:t>
      </w:r>
      <w:r w:rsidR="007E1D35">
        <w:rPr>
          <w:color w:val="365F91" w:themeColor="accent1" w:themeShade="BF"/>
          <w:sz w:val="22"/>
          <w:szCs w:val="22"/>
        </w:rPr>
        <w:t xml:space="preserve"> Αυτές οι αποκοπές αποτελούν μέρος του μισθού και πρέπει να </w:t>
      </w:r>
      <w:r w:rsidR="00D4623B">
        <w:rPr>
          <w:color w:val="365F91" w:themeColor="accent1" w:themeShade="BF"/>
          <w:sz w:val="22"/>
          <w:szCs w:val="22"/>
        </w:rPr>
        <w:t>περιλαμβάνονται στους Βασικούς Μισθούς.</w:t>
      </w:r>
    </w:p>
    <w:p w:rsidR="00423152" w:rsidRDefault="00423152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423152" w:rsidRDefault="00B85A59" w:rsidP="007B60CC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(β) </w:t>
      </w:r>
      <w:r w:rsidR="00D4623B">
        <w:rPr>
          <w:color w:val="365F91" w:themeColor="accent1" w:themeShade="BF"/>
          <w:sz w:val="22"/>
          <w:szCs w:val="22"/>
        </w:rPr>
        <w:t xml:space="preserve">Στην υποκατηγορία </w:t>
      </w:r>
      <w:r w:rsidR="00BE2A52" w:rsidRPr="00BE2A52">
        <w:rPr>
          <w:i/>
          <w:color w:val="365F91" w:themeColor="accent1" w:themeShade="BF"/>
          <w:sz w:val="22"/>
          <w:szCs w:val="22"/>
        </w:rPr>
        <w:t>12.7 Συντήρηση και Βελτίωση Κοινοτικής Περιουσίας</w:t>
      </w:r>
      <w:r w:rsidR="00D4623B">
        <w:rPr>
          <w:color w:val="365F91" w:themeColor="accent1" w:themeShade="BF"/>
          <w:sz w:val="22"/>
          <w:szCs w:val="22"/>
        </w:rPr>
        <w:t>, η</w:t>
      </w:r>
      <w:r w:rsidR="00423152">
        <w:rPr>
          <w:color w:val="365F91" w:themeColor="accent1" w:themeShade="BF"/>
          <w:sz w:val="22"/>
          <w:szCs w:val="22"/>
        </w:rPr>
        <w:t xml:space="preserve"> περιγραφή της </w:t>
      </w:r>
      <w:r w:rsidR="00D4623B">
        <w:rPr>
          <w:color w:val="365F91" w:themeColor="accent1" w:themeShade="BF"/>
          <w:sz w:val="22"/>
          <w:szCs w:val="22"/>
        </w:rPr>
        <w:t xml:space="preserve">δαπάνης </w:t>
      </w:r>
      <w:r w:rsidR="00423152">
        <w:rPr>
          <w:color w:val="365F91" w:themeColor="accent1" w:themeShade="BF"/>
          <w:sz w:val="22"/>
          <w:szCs w:val="22"/>
        </w:rPr>
        <w:t xml:space="preserve">«Συντήρηση </w:t>
      </w:r>
      <w:r>
        <w:rPr>
          <w:color w:val="365F91" w:themeColor="accent1" w:themeShade="BF"/>
          <w:sz w:val="22"/>
          <w:szCs w:val="22"/>
        </w:rPr>
        <w:t xml:space="preserve">Δημοτικών Υποστατικών» </w:t>
      </w:r>
      <w:r w:rsidR="00D4623B">
        <w:rPr>
          <w:color w:val="365F91" w:themeColor="accent1" w:themeShade="BF"/>
          <w:sz w:val="22"/>
          <w:szCs w:val="22"/>
        </w:rPr>
        <w:t xml:space="preserve">(γραμμή 111) </w:t>
      </w:r>
      <w:r>
        <w:rPr>
          <w:color w:val="365F91" w:themeColor="accent1" w:themeShade="BF"/>
          <w:sz w:val="22"/>
          <w:szCs w:val="22"/>
        </w:rPr>
        <w:t>να τροποποιηθεί ώστε να γίνει «Συντήρηση Κοινοτικών Υποστατικών».</w:t>
      </w:r>
    </w:p>
    <w:p w:rsidR="00B85A59" w:rsidRDefault="00B85A59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B85A59" w:rsidRDefault="00B85A59" w:rsidP="007B60CC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(γ) </w:t>
      </w:r>
      <w:r w:rsidR="008E42CA">
        <w:rPr>
          <w:color w:val="365F91" w:themeColor="accent1" w:themeShade="BF"/>
          <w:sz w:val="22"/>
          <w:szCs w:val="22"/>
        </w:rPr>
        <w:t xml:space="preserve">Έξοδα λειτουργίας Κοινοτικού Νηπιαγωγείου, μη συμπεριλαμβανομένων των εξόδων μισθοδοσίας, να συμπεριλαμβάνονται στη </w:t>
      </w:r>
      <w:r w:rsidR="00D4623B">
        <w:rPr>
          <w:color w:val="365F91" w:themeColor="accent1" w:themeShade="BF"/>
          <w:sz w:val="22"/>
          <w:szCs w:val="22"/>
        </w:rPr>
        <w:t>δαπάνη</w:t>
      </w:r>
      <w:r w:rsidR="008E42CA">
        <w:rPr>
          <w:color w:val="365F91" w:themeColor="accent1" w:themeShade="BF"/>
          <w:sz w:val="22"/>
          <w:szCs w:val="22"/>
        </w:rPr>
        <w:t xml:space="preserve"> «Άλλα Έξοδα Κοινωνικών Υπηρεσιών»</w:t>
      </w:r>
      <w:r w:rsidR="00D4623B">
        <w:rPr>
          <w:color w:val="365F91" w:themeColor="accent1" w:themeShade="BF"/>
          <w:sz w:val="22"/>
          <w:szCs w:val="22"/>
        </w:rPr>
        <w:t xml:space="preserve"> (γραμμή 129) της υποκατηγορίας </w:t>
      </w:r>
      <w:r w:rsidR="00BE2A52" w:rsidRPr="00BE2A52">
        <w:rPr>
          <w:i/>
          <w:color w:val="365F91" w:themeColor="accent1" w:themeShade="BF"/>
          <w:sz w:val="22"/>
          <w:szCs w:val="22"/>
        </w:rPr>
        <w:t>12.3 Έξοδα Κοινωνικών Υπηρεσιών</w:t>
      </w:r>
      <w:r w:rsidR="008E42CA">
        <w:rPr>
          <w:color w:val="365F91" w:themeColor="accent1" w:themeShade="BF"/>
          <w:sz w:val="22"/>
          <w:szCs w:val="22"/>
        </w:rPr>
        <w:t>.</w:t>
      </w:r>
    </w:p>
    <w:p w:rsidR="00423152" w:rsidRDefault="00423152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B85A59" w:rsidRDefault="00B85A59" w:rsidP="00B85A59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768DA">
        <w:rPr>
          <w:sz w:val="22"/>
          <w:szCs w:val="22"/>
        </w:rPr>
        <w:t xml:space="preserve">. </w:t>
      </w:r>
      <w:r w:rsidR="00B828A2">
        <w:rPr>
          <w:sz w:val="22"/>
          <w:szCs w:val="22"/>
        </w:rPr>
        <w:t xml:space="preserve">Διευκρινίσεις σχετικά με τον </w:t>
      </w:r>
      <w:r w:rsidR="00BE2A52" w:rsidRPr="00BE2A52">
        <w:rPr>
          <w:i/>
          <w:sz w:val="22"/>
          <w:szCs w:val="22"/>
        </w:rPr>
        <w:t>Πίνακα Α2 Εισπράξεις</w:t>
      </w:r>
    </w:p>
    <w:p w:rsidR="00B85A59" w:rsidRDefault="00B85A59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B85A59" w:rsidRDefault="00B85A59" w:rsidP="007B60CC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(</w:t>
      </w:r>
      <w:r w:rsidR="00E25A68">
        <w:rPr>
          <w:color w:val="365F91" w:themeColor="accent1" w:themeShade="BF"/>
          <w:sz w:val="22"/>
          <w:szCs w:val="22"/>
        </w:rPr>
        <w:t>α</w:t>
      </w:r>
      <w:r>
        <w:rPr>
          <w:color w:val="365F91" w:themeColor="accent1" w:themeShade="BF"/>
          <w:sz w:val="22"/>
          <w:szCs w:val="22"/>
        </w:rPr>
        <w:t xml:space="preserve">) Τυχόν εισπράξεις από μικρά Αρδευτικά έργα τα οποία ανήκουν στις κοινότητες να περιλαμβάνονται στη </w:t>
      </w:r>
      <w:r w:rsidR="00C9256D">
        <w:rPr>
          <w:color w:val="365F91" w:themeColor="accent1" w:themeShade="BF"/>
          <w:sz w:val="22"/>
          <w:szCs w:val="22"/>
        </w:rPr>
        <w:t xml:space="preserve">δαπάνη </w:t>
      </w:r>
      <w:r>
        <w:rPr>
          <w:color w:val="365F91" w:themeColor="accent1" w:themeShade="BF"/>
          <w:sz w:val="22"/>
          <w:szCs w:val="22"/>
        </w:rPr>
        <w:t>«Διάφορα Έσοδα Υδατοπρομήθειας»</w:t>
      </w:r>
      <w:r w:rsidR="00C9256D">
        <w:rPr>
          <w:color w:val="365F91" w:themeColor="accent1" w:themeShade="BF"/>
          <w:sz w:val="22"/>
          <w:szCs w:val="22"/>
        </w:rPr>
        <w:t xml:space="preserve"> (γραμμή 75) της κατηγορίας 4 </w:t>
      </w:r>
      <w:r w:rsidR="00BE2A52" w:rsidRPr="00BE2A52">
        <w:rPr>
          <w:i/>
          <w:color w:val="365F91" w:themeColor="accent1" w:themeShade="BF"/>
          <w:sz w:val="22"/>
          <w:szCs w:val="22"/>
        </w:rPr>
        <w:t>Έσοδα Υδατοπρομήθειας</w:t>
      </w:r>
      <w:r>
        <w:rPr>
          <w:color w:val="365F91" w:themeColor="accent1" w:themeShade="BF"/>
          <w:sz w:val="22"/>
          <w:szCs w:val="22"/>
        </w:rPr>
        <w:t>.</w:t>
      </w:r>
    </w:p>
    <w:p w:rsidR="00B85A59" w:rsidRDefault="00B85A59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B85A59" w:rsidRDefault="00B85A59" w:rsidP="007B60CC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(</w:t>
      </w:r>
      <w:r w:rsidR="00E25A68">
        <w:rPr>
          <w:color w:val="365F91" w:themeColor="accent1" w:themeShade="BF"/>
          <w:sz w:val="22"/>
          <w:szCs w:val="22"/>
        </w:rPr>
        <w:t>β</w:t>
      </w:r>
      <w:r>
        <w:rPr>
          <w:color w:val="365F91" w:themeColor="accent1" w:themeShade="BF"/>
          <w:sz w:val="22"/>
          <w:szCs w:val="22"/>
        </w:rPr>
        <w:t xml:space="preserve">) Εισπράξεις επιβαρύνσεων που προκύπτουν από καθυστερημένη εξόφληση λογαριασμών να περιλαμβάνονται στη </w:t>
      </w:r>
      <w:r w:rsidR="00C9256D">
        <w:rPr>
          <w:color w:val="365F91" w:themeColor="accent1" w:themeShade="BF"/>
          <w:sz w:val="22"/>
          <w:szCs w:val="22"/>
        </w:rPr>
        <w:t xml:space="preserve">δαπάνη </w:t>
      </w:r>
      <w:r>
        <w:rPr>
          <w:color w:val="365F91" w:themeColor="accent1" w:themeShade="BF"/>
          <w:sz w:val="22"/>
          <w:szCs w:val="22"/>
        </w:rPr>
        <w:t>«Διάφορα άλλα Πρόστιμα/Προσεπιβαρύνσεις»</w:t>
      </w:r>
      <w:r w:rsidR="00C9256D">
        <w:rPr>
          <w:color w:val="365F91" w:themeColor="accent1" w:themeShade="BF"/>
          <w:sz w:val="22"/>
          <w:szCs w:val="22"/>
        </w:rPr>
        <w:t xml:space="preserve"> (γραμμή 86) της κατηγορίας </w:t>
      </w:r>
      <w:r w:rsidR="00BE2A52" w:rsidRPr="00BE2A52">
        <w:rPr>
          <w:i/>
          <w:color w:val="365F91" w:themeColor="accent1" w:themeShade="BF"/>
          <w:sz w:val="22"/>
          <w:szCs w:val="22"/>
        </w:rPr>
        <w:t>6 Πρόστιμα και Επιβαρύνσεις</w:t>
      </w:r>
      <w:r>
        <w:rPr>
          <w:color w:val="365F91" w:themeColor="accent1" w:themeShade="BF"/>
          <w:sz w:val="22"/>
          <w:szCs w:val="22"/>
        </w:rPr>
        <w:t>.</w:t>
      </w:r>
    </w:p>
    <w:p w:rsidR="008C5EA4" w:rsidRDefault="008C5EA4" w:rsidP="007B60CC">
      <w:pPr>
        <w:jc w:val="both"/>
        <w:rPr>
          <w:sz w:val="22"/>
          <w:szCs w:val="22"/>
        </w:rPr>
      </w:pPr>
    </w:p>
    <w:p w:rsidR="009479DC" w:rsidRDefault="00F01ABB" w:rsidP="007B60CC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E25A68" w:rsidRPr="007768DA">
        <w:rPr>
          <w:sz w:val="22"/>
          <w:szCs w:val="22"/>
        </w:rPr>
        <w:t xml:space="preserve">. </w:t>
      </w:r>
      <w:r w:rsidR="00E25A68">
        <w:rPr>
          <w:sz w:val="22"/>
          <w:szCs w:val="22"/>
        </w:rPr>
        <w:t>Πώς χειριζόμαστε τις καταθέσεις που υπάρχουν στην Επαρχιακή Διοίκηση στο όνο</w:t>
      </w:r>
      <w:r w:rsidR="009479DC">
        <w:rPr>
          <w:sz w:val="22"/>
          <w:szCs w:val="22"/>
        </w:rPr>
        <w:t>μα του Κοινοτικού Συμβουλίου για δημιουργία νέων χώρων πρασίνου ή χώρων στάθμευσης;</w:t>
      </w:r>
    </w:p>
    <w:p w:rsidR="005554FD" w:rsidRDefault="005554FD" w:rsidP="007B60CC">
      <w:pPr>
        <w:jc w:val="both"/>
        <w:rPr>
          <w:sz w:val="22"/>
          <w:szCs w:val="22"/>
        </w:rPr>
      </w:pPr>
    </w:p>
    <w:p w:rsidR="00E25A68" w:rsidRDefault="00BE2A52" w:rsidP="007B60CC">
      <w:pPr>
        <w:jc w:val="both"/>
        <w:rPr>
          <w:color w:val="365F91" w:themeColor="accent1" w:themeShade="BF"/>
          <w:sz w:val="22"/>
          <w:szCs w:val="22"/>
        </w:rPr>
      </w:pPr>
      <w:r w:rsidRPr="00BE2A52">
        <w:rPr>
          <w:color w:val="365F91" w:themeColor="accent1" w:themeShade="BF"/>
          <w:sz w:val="22"/>
          <w:szCs w:val="22"/>
        </w:rPr>
        <w:t xml:space="preserve">Όπως αναφέρεται και στις Οδηγίες, τα υπόλοιπα των καταθέσεων αυτών πρέπει να παρουσιάζονται στον </w:t>
      </w:r>
      <w:r w:rsidRPr="00BE2A52">
        <w:rPr>
          <w:i/>
          <w:color w:val="365F91" w:themeColor="accent1" w:themeShade="BF"/>
          <w:sz w:val="22"/>
          <w:szCs w:val="22"/>
        </w:rPr>
        <w:t>Πίνακα Α5 Τραπεζικοί Λογαριασμοί</w:t>
      </w:r>
      <w:r w:rsidRPr="00BE2A52">
        <w:rPr>
          <w:color w:val="365F91" w:themeColor="accent1" w:themeShade="BF"/>
          <w:sz w:val="22"/>
          <w:szCs w:val="22"/>
        </w:rPr>
        <w:t xml:space="preserve"> στην κατάσταση </w:t>
      </w:r>
      <w:r>
        <w:rPr>
          <w:i/>
          <w:color w:val="365F91" w:themeColor="accent1" w:themeShade="BF"/>
          <w:sz w:val="22"/>
          <w:szCs w:val="22"/>
        </w:rPr>
        <w:t>Τραπεζικοί Λογαριασμοί που χρησιμοποιούνται για άλλους σκοπούς</w:t>
      </w:r>
      <w:r>
        <w:rPr>
          <w:color w:val="365F91" w:themeColor="accent1" w:themeShade="BF"/>
          <w:sz w:val="22"/>
          <w:szCs w:val="22"/>
        </w:rPr>
        <w:t xml:space="preserve">. </w:t>
      </w:r>
      <w:r w:rsidR="009479DC">
        <w:rPr>
          <w:color w:val="365F91" w:themeColor="accent1" w:themeShade="BF"/>
          <w:sz w:val="22"/>
          <w:szCs w:val="22"/>
        </w:rPr>
        <w:t xml:space="preserve">Αν προϋπολογίζετε ότι θα χρησιμοποιήσετε ποσά από τις καταθέσεις αυτές για </w:t>
      </w:r>
      <w:r w:rsidR="00782B80">
        <w:rPr>
          <w:color w:val="365F91" w:themeColor="accent1" w:themeShade="BF"/>
          <w:sz w:val="22"/>
          <w:szCs w:val="22"/>
        </w:rPr>
        <w:t xml:space="preserve">δημιουργία νέων χώρων πρασίνου / στάθμευσης, τότε τα αντίστοιχα ποσά για κάθε έτος θα πρέπει να παρουσιάζονται στη στήλη </w:t>
      </w:r>
      <w:r w:rsidRPr="00BE2A52">
        <w:rPr>
          <w:i/>
          <w:color w:val="365F91" w:themeColor="accent1" w:themeShade="BF"/>
          <w:sz w:val="22"/>
          <w:szCs w:val="22"/>
        </w:rPr>
        <w:t>Αναλήψεις</w:t>
      </w:r>
      <w:r w:rsidR="00782B80">
        <w:rPr>
          <w:color w:val="365F91" w:themeColor="accent1" w:themeShade="BF"/>
          <w:sz w:val="22"/>
          <w:szCs w:val="22"/>
        </w:rPr>
        <w:t xml:space="preserve"> της ίδιας κατάστασης. Επιπλέον, θα πρέπει να παρουσιάζεται και το σχετικό </w:t>
      </w:r>
      <w:r w:rsidR="0087164D">
        <w:rPr>
          <w:color w:val="365F91" w:themeColor="accent1" w:themeShade="BF"/>
          <w:sz w:val="22"/>
          <w:szCs w:val="22"/>
        </w:rPr>
        <w:t xml:space="preserve">έργο στον Πίνακα </w:t>
      </w:r>
      <w:r w:rsidR="00BE7E16">
        <w:rPr>
          <w:color w:val="365F91" w:themeColor="accent1" w:themeShade="BF"/>
          <w:sz w:val="22"/>
          <w:szCs w:val="22"/>
        </w:rPr>
        <w:t xml:space="preserve">Α7 Αναπτυξιακά Έργα. Το ποσό που παρουσιάζεται για το έργο αυτό στη στήλη </w:t>
      </w:r>
      <w:r w:rsidRPr="00BE2A52">
        <w:rPr>
          <w:i/>
          <w:color w:val="365F91" w:themeColor="accent1" w:themeShade="BF"/>
          <w:sz w:val="22"/>
          <w:szCs w:val="22"/>
        </w:rPr>
        <w:t>Αναλήψεις από άλλους τραπεζικούς λογαριασμούς και Ειδικά Ταμεία</w:t>
      </w:r>
      <w:r w:rsidR="00BE7E16">
        <w:rPr>
          <w:color w:val="365F91" w:themeColor="accent1" w:themeShade="BF"/>
          <w:sz w:val="22"/>
          <w:szCs w:val="22"/>
        </w:rPr>
        <w:t xml:space="preserve"> θα πρέπει να συμφωνεί με το ποσό που παρουσιάζεται στις στήλες </w:t>
      </w:r>
      <w:r w:rsidRPr="00BE2A52">
        <w:rPr>
          <w:i/>
          <w:color w:val="365F91" w:themeColor="accent1" w:themeShade="BF"/>
          <w:sz w:val="22"/>
          <w:szCs w:val="22"/>
        </w:rPr>
        <w:t>Αναλήψεις</w:t>
      </w:r>
      <w:r w:rsidR="00BE7E16">
        <w:rPr>
          <w:color w:val="365F91" w:themeColor="accent1" w:themeShade="BF"/>
          <w:sz w:val="22"/>
          <w:szCs w:val="22"/>
        </w:rPr>
        <w:t xml:space="preserve"> της κατάστασης </w:t>
      </w:r>
      <w:r w:rsidRPr="00BE2A52">
        <w:rPr>
          <w:i/>
          <w:color w:val="365F91" w:themeColor="accent1" w:themeShade="BF"/>
          <w:sz w:val="22"/>
          <w:szCs w:val="22"/>
        </w:rPr>
        <w:t>Τραπεζικοί Λογαριασμοί που χρησιμοποιούνται για άλλους σκοπούς</w:t>
      </w:r>
      <w:r w:rsidR="00E00772">
        <w:rPr>
          <w:color w:val="365F91" w:themeColor="accent1" w:themeShade="BF"/>
          <w:sz w:val="22"/>
          <w:szCs w:val="22"/>
        </w:rPr>
        <w:t>.</w:t>
      </w:r>
    </w:p>
    <w:p w:rsidR="00E00772" w:rsidRDefault="00E00772" w:rsidP="00782B80">
      <w:pPr>
        <w:jc w:val="both"/>
        <w:rPr>
          <w:sz w:val="22"/>
          <w:szCs w:val="22"/>
        </w:rPr>
      </w:pPr>
    </w:p>
    <w:p w:rsidR="00782B80" w:rsidRDefault="00F01ABB" w:rsidP="00782B80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782B80" w:rsidRPr="007768DA">
        <w:rPr>
          <w:sz w:val="22"/>
          <w:szCs w:val="22"/>
        </w:rPr>
        <w:t xml:space="preserve">. </w:t>
      </w:r>
      <w:r w:rsidR="00782B80">
        <w:rPr>
          <w:sz w:val="22"/>
          <w:szCs w:val="22"/>
        </w:rPr>
        <w:t>Πώς χειριζόμαστε τις καταθέσεις που υπάρχουν στην Επαρχιακή Διοίκηση στο όνομα του Κοινοτικού Συμβουλίου για εκτέλεση έργων;</w:t>
      </w:r>
    </w:p>
    <w:p w:rsidR="00B85A59" w:rsidRDefault="00B85A59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782B80" w:rsidRDefault="00BE2A52" w:rsidP="00782B80">
      <w:pPr>
        <w:jc w:val="both"/>
        <w:rPr>
          <w:color w:val="365F91" w:themeColor="accent1" w:themeShade="BF"/>
          <w:sz w:val="22"/>
          <w:szCs w:val="22"/>
        </w:rPr>
      </w:pPr>
      <w:r w:rsidRPr="00BE2A52">
        <w:rPr>
          <w:color w:val="365F91" w:themeColor="accent1" w:themeShade="BF"/>
          <w:sz w:val="22"/>
          <w:szCs w:val="22"/>
        </w:rPr>
        <w:t xml:space="preserve">Όπως αναφέρεται και στις Οδηγίες, τα υπόλοιπα των καταθέσεων αυτών πρέπει να παρουσιάζονται στον </w:t>
      </w:r>
      <w:r w:rsidRPr="00BE2A52">
        <w:rPr>
          <w:i/>
          <w:color w:val="365F91" w:themeColor="accent1" w:themeShade="BF"/>
          <w:sz w:val="22"/>
          <w:szCs w:val="22"/>
        </w:rPr>
        <w:t>Πίνακα Α5 Τραπεζικοί Λογαριασμοί</w:t>
      </w:r>
      <w:r w:rsidRPr="00BE2A52">
        <w:rPr>
          <w:color w:val="365F91" w:themeColor="accent1" w:themeShade="BF"/>
          <w:sz w:val="22"/>
          <w:szCs w:val="22"/>
        </w:rPr>
        <w:t xml:space="preserve"> στην κατάσταση </w:t>
      </w:r>
      <w:r>
        <w:rPr>
          <w:i/>
          <w:color w:val="365F91" w:themeColor="accent1" w:themeShade="BF"/>
          <w:sz w:val="22"/>
          <w:szCs w:val="22"/>
        </w:rPr>
        <w:t>Τραπεζικοί Λογαριασμοί που χρησιμοποιούνται για άλλ</w:t>
      </w:r>
      <w:r w:rsidR="00782B80">
        <w:rPr>
          <w:i/>
          <w:color w:val="365F91" w:themeColor="accent1" w:themeShade="BF"/>
          <w:sz w:val="22"/>
          <w:szCs w:val="22"/>
        </w:rPr>
        <w:t>ους</w:t>
      </w:r>
      <w:r w:rsidR="00782B80" w:rsidRPr="00F51640">
        <w:rPr>
          <w:i/>
          <w:color w:val="365F91" w:themeColor="accent1" w:themeShade="BF"/>
          <w:sz w:val="22"/>
          <w:szCs w:val="22"/>
        </w:rPr>
        <w:t xml:space="preserve"> </w:t>
      </w:r>
      <w:r w:rsidR="00782B80">
        <w:rPr>
          <w:i/>
          <w:color w:val="365F91" w:themeColor="accent1" w:themeShade="BF"/>
          <w:sz w:val="22"/>
          <w:szCs w:val="22"/>
        </w:rPr>
        <w:t>σ</w:t>
      </w:r>
      <w:r w:rsidR="00782B80" w:rsidRPr="00F51640">
        <w:rPr>
          <w:i/>
          <w:color w:val="365F91" w:themeColor="accent1" w:themeShade="BF"/>
          <w:sz w:val="22"/>
          <w:szCs w:val="22"/>
        </w:rPr>
        <w:t>κοπούς</w:t>
      </w:r>
      <w:r w:rsidR="00782B80">
        <w:rPr>
          <w:color w:val="365F91" w:themeColor="accent1" w:themeShade="BF"/>
          <w:sz w:val="22"/>
          <w:szCs w:val="22"/>
        </w:rPr>
        <w:t xml:space="preserve">. </w:t>
      </w:r>
      <w:r w:rsidR="008C5EA4">
        <w:rPr>
          <w:color w:val="365F91" w:themeColor="accent1" w:themeShade="BF"/>
          <w:sz w:val="22"/>
          <w:szCs w:val="22"/>
        </w:rPr>
        <w:t xml:space="preserve">Το ποσό που αφορά συνεισφορά του Κοινοτικού Συμβουλίου, θα πρέπει να παρουσιάζεται στη δαπάνη «Συνεισφορά για αναπτυξιακά έργα που υλοποιεί το κράτος» της κατηγορίας </w:t>
      </w:r>
      <w:r w:rsidRPr="00BE2A52">
        <w:rPr>
          <w:i/>
          <w:color w:val="365F91" w:themeColor="accent1" w:themeShade="BF"/>
          <w:sz w:val="22"/>
          <w:szCs w:val="22"/>
        </w:rPr>
        <w:t>17 Κεφαλαιουχικές Μεταβιβάσεις</w:t>
      </w:r>
      <w:r w:rsidR="008C5EA4">
        <w:rPr>
          <w:color w:val="365F91" w:themeColor="accent1" w:themeShade="BF"/>
          <w:sz w:val="22"/>
          <w:szCs w:val="22"/>
        </w:rPr>
        <w:t xml:space="preserve"> του </w:t>
      </w:r>
      <w:r w:rsidRPr="00BE2A52">
        <w:rPr>
          <w:i/>
          <w:color w:val="365F91" w:themeColor="accent1" w:themeShade="BF"/>
          <w:sz w:val="22"/>
          <w:szCs w:val="22"/>
        </w:rPr>
        <w:t>Πίνακα Α3 Πληρωμές</w:t>
      </w:r>
      <w:r w:rsidR="008C5EA4">
        <w:rPr>
          <w:color w:val="365F91" w:themeColor="accent1" w:themeShade="BF"/>
          <w:sz w:val="22"/>
          <w:szCs w:val="22"/>
        </w:rPr>
        <w:t xml:space="preserve">.  </w:t>
      </w:r>
      <w:r w:rsidR="00782B80">
        <w:rPr>
          <w:color w:val="365F91" w:themeColor="accent1" w:themeShade="BF"/>
          <w:sz w:val="22"/>
          <w:szCs w:val="22"/>
        </w:rPr>
        <w:t xml:space="preserve">Αν προϋπολογίζετε ότι θα </w:t>
      </w:r>
      <w:r w:rsidR="008C5EA4">
        <w:rPr>
          <w:color w:val="365F91" w:themeColor="accent1" w:themeShade="BF"/>
          <w:sz w:val="22"/>
          <w:szCs w:val="22"/>
        </w:rPr>
        <w:t xml:space="preserve">σας επιστραφούν κάποια ποσά από την Επαρχιακή Διοίκηση επειδή περισσέψει μετά την ολοκλήρωση κάποιων έργων, αυτά θα πρέπει να καταχωρούνται στον </w:t>
      </w:r>
      <w:r w:rsidRPr="00BE2A52">
        <w:rPr>
          <w:i/>
          <w:color w:val="365F91" w:themeColor="accent1" w:themeShade="BF"/>
          <w:sz w:val="22"/>
          <w:szCs w:val="22"/>
        </w:rPr>
        <w:t>Πίνακα Α2 Εισπράξεις</w:t>
      </w:r>
      <w:r w:rsidR="008C5EA4">
        <w:rPr>
          <w:color w:val="365F91" w:themeColor="accent1" w:themeShade="BF"/>
          <w:sz w:val="22"/>
          <w:szCs w:val="22"/>
        </w:rPr>
        <w:t xml:space="preserve"> στα «Άλλα Έσοδα» κάτω από την κατηγορία </w:t>
      </w:r>
      <w:r w:rsidRPr="00BE2A52">
        <w:rPr>
          <w:i/>
          <w:color w:val="365F91" w:themeColor="accent1" w:themeShade="BF"/>
          <w:sz w:val="22"/>
          <w:szCs w:val="22"/>
        </w:rPr>
        <w:t>9 Άλλα</w:t>
      </w:r>
      <w:r w:rsidR="008C5EA4">
        <w:rPr>
          <w:color w:val="365F91" w:themeColor="accent1" w:themeShade="BF"/>
          <w:sz w:val="22"/>
          <w:szCs w:val="22"/>
        </w:rPr>
        <w:t xml:space="preserve">. </w:t>
      </w:r>
    </w:p>
    <w:p w:rsidR="00782B80" w:rsidRDefault="00782B80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782B80" w:rsidRPr="00F01ABB" w:rsidRDefault="00BE2A52" w:rsidP="007B60CC">
      <w:pPr>
        <w:jc w:val="both"/>
        <w:rPr>
          <w:sz w:val="22"/>
          <w:szCs w:val="22"/>
        </w:rPr>
      </w:pPr>
      <w:r w:rsidRPr="00BE2A52">
        <w:rPr>
          <w:sz w:val="22"/>
          <w:szCs w:val="22"/>
        </w:rPr>
        <w:t>7. Πώς χειριζόμαστε την περίπτωση που αναπτυξιακό έργο χρηματοδοτείται από κρατική χορηγία και δάνειο αλλά λόγω της καθυστέρησης της πληρωμής της κρατικής χορηγίας, το Κοινοτικό Συμβούλιο</w:t>
      </w:r>
      <w:r w:rsidR="00F01ABB">
        <w:rPr>
          <w:sz w:val="22"/>
          <w:szCs w:val="22"/>
        </w:rPr>
        <w:t xml:space="preserve"> δεν διαθέτει ενδιάμεση ρευστότητα και επιθυμεί να συνάψει δάνειο που να καλύπτει και το ποσό της κρατικής χορηγίας; </w:t>
      </w:r>
    </w:p>
    <w:p w:rsidR="00F01ABB" w:rsidRDefault="00F01ABB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F01ABB" w:rsidRDefault="00F01ABB" w:rsidP="007B60CC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 xml:space="preserve">Στον </w:t>
      </w:r>
      <w:r w:rsidR="00BE2A52" w:rsidRPr="00BE2A52">
        <w:rPr>
          <w:i/>
          <w:color w:val="365F91" w:themeColor="accent1" w:themeShade="BF"/>
          <w:sz w:val="22"/>
          <w:szCs w:val="22"/>
        </w:rPr>
        <w:t>Πίνακα Α7 Αναπτυξιακά Έργα</w:t>
      </w:r>
      <w:r>
        <w:rPr>
          <w:color w:val="365F91" w:themeColor="accent1" w:themeShade="BF"/>
          <w:sz w:val="22"/>
          <w:szCs w:val="22"/>
        </w:rPr>
        <w:t xml:space="preserve"> θα παρουσιαστεί η </w:t>
      </w:r>
      <w:r w:rsidR="00F06309">
        <w:rPr>
          <w:color w:val="365F91" w:themeColor="accent1" w:themeShade="BF"/>
          <w:sz w:val="22"/>
          <w:szCs w:val="22"/>
        </w:rPr>
        <w:t xml:space="preserve">συνολική εικόνα του έργου χωρίς να λαμβάνεται υπόψη ο επιπρόσθετος δανεισμός για προσωρινή κάλυψη της κρατικής χορηγίας, προϋπολογίζοντας ότι η κρατική χορηγία θα ληφθεί έγκαιρα. Στον </w:t>
      </w:r>
      <w:r w:rsidR="00BE2A52" w:rsidRPr="00BE2A52">
        <w:rPr>
          <w:i/>
          <w:color w:val="365F91" w:themeColor="accent1" w:themeShade="BF"/>
          <w:sz w:val="22"/>
          <w:szCs w:val="22"/>
        </w:rPr>
        <w:t>Πίνακα Α4 Δάνεια</w:t>
      </w:r>
      <w:r w:rsidR="00F06309">
        <w:rPr>
          <w:color w:val="365F91" w:themeColor="accent1" w:themeShade="BF"/>
          <w:sz w:val="22"/>
          <w:szCs w:val="22"/>
        </w:rPr>
        <w:t xml:space="preserve"> θα παρουσιαστεί ολόκληρο το ποσό του δανείου που θα αναληφθεί, προσθέτοντας σχετική σημείωση που να επεξηγεί τους λόγους που απαιτείται αυξημένο ποσό δανείου. Σημειώνεται ότι όταν σε αργότερο στάδιο ληφθεί η κρατική χορηγία αυτή θα πρέπει να κατατεθεί για μείωση του ποσού του οφειλόμενου δανείου και όχι να χρησιμοποιηθεί για κάλυψη λειτουργικών ελλειμμάτων.</w:t>
      </w:r>
    </w:p>
    <w:p w:rsidR="00F06309" w:rsidRPr="00727C56" w:rsidRDefault="00F06309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727C56" w:rsidRPr="00727C56" w:rsidRDefault="00727C56" w:rsidP="007B60CC">
      <w:pPr>
        <w:jc w:val="both"/>
        <w:rPr>
          <w:sz w:val="22"/>
          <w:szCs w:val="22"/>
        </w:rPr>
      </w:pPr>
      <w:r w:rsidRPr="00727C56">
        <w:rPr>
          <w:sz w:val="22"/>
          <w:szCs w:val="22"/>
        </w:rPr>
        <w:t>8. Όπου λειτουργούν συμπλέγματα π.χ. για συλλογή σκυβάλων, ή</w:t>
      </w:r>
      <w:r>
        <w:rPr>
          <w:sz w:val="22"/>
          <w:szCs w:val="22"/>
        </w:rPr>
        <w:t xml:space="preserve"> για αρδευτικό έργο ορίζεται ένα</w:t>
      </w:r>
      <w:r w:rsidRPr="00727C56">
        <w:rPr>
          <w:sz w:val="22"/>
          <w:szCs w:val="22"/>
        </w:rPr>
        <w:t xml:space="preserve"> </w:t>
      </w:r>
      <w:r>
        <w:rPr>
          <w:sz w:val="22"/>
          <w:szCs w:val="22"/>
        </w:rPr>
        <w:t>Κ</w:t>
      </w:r>
      <w:r w:rsidRPr="00727C56">
        <w:rPr>
          <w:sz w:val="22"/>
          <w:szCs w:val="22"/>
        </w:rPr>
        <w:t>οιν</w:t>
      </w:r>
      <w:r>
        <w:rPr>
          <w:sz w:val="22"/>
          <w:szCs w:val="22"/>
        </w:rPr>
        <w:t>οτικό Συμβούλιο</w:t>
      </w:r>
      <w:r w:rsidRPr="00727C56">
        <w:rPr>
          <w:sz w:val="22"/>
          <w:szCs w:val="22"/>
        </w:rPr>
        <w:t xml:space="preserve"> ως ο «διαχειριστής» του συμπλέγματος. Αυτή </w:t>
      </w:r>
      <w:r>
        <w:rPr>
          <w:sz w:val="22"/>
          <w:szCs w:val="22"/>
        </w:rPr>
        <w:t>το</w:t>
      </w:r>
      <w:r w:rsidRPr="00727C56">
        <w:rPr>
          <w:sz w:val="22"/>
          <w:szCs w:val="22"/>
        </w:rPr>
        <w:t xml:space="preserve"> </w:t>
      </w:r>
      <w:r>
        <w:rPr>
          <w:sz w:val="22"/>
          <w:szCs w:val="22"/>
        </w:rPr>
        <w:t>ΚΣ</w:t>
      </w:r>
      <w:r w:rsidRPr="00727C56">
        <w:rPr>
          <w:sz w:val="22"/>
          <w:szCs w:val="22"/>
        </w:rPr>
        <w:t xml:space="preserve"> πληρώνει τις δαπάνες για ολόκληρο το σύμπλεγμα και εισπράττει τη συμμετοχή των υπολοίπων Κ</w:t>
      </w:r>
      <w:r>
        <w:rPr>
          <w:sz w:val="22"/>
          <w:szCs w:val="22"/>
        </w:rPr>
        <w:t>Σ</w:t>
      </w:r>
      <w:r w:rsidRPr="00727C56">
        <w:rPr>
          <w:sz w:val="22"/>
          <w:szCs w:val="22"/>
        </w:rPr>
        <w:t xml:space="preserve"> που μετέχουν στο σύμπλεγμα καθώς και Κρατική Χορηγία για ολόκληρο το σύμπλεγμα. Υπάρχουν περιπτώσεις που ο «διαχειριστής» πληρώνει την κρατική χορηγία στα υπόλοιπα χωριά (το ποσό που αναλογεί στον καθένα) και περιπτώσεις που τη διανέμει έναντι της οφειλής τους και του πληρώνουν μόνο τη διαφορά.</w:t>
      </w:r>
      <w:r>
        <w:rPr>
          <w:sz w:val="22"/>
          <w:szCs w:val="22"/>
        </w:rPr>
        <w:t xml:space="preserve"> Πως τυγχάνουν χειρισμού αυτές οι περιπτώσεις;</w:t>
      </w:r>
    </w:p>
    <w:p w:rsidR="00727C56" w:rsidRPr="00727C56" w:rsidRDefault="00727C56" w:rsidP="007B60CC">
      <w:pPr>
        <w:jc w:val="both"/>
        <w:rPr>
          <w:sz w:val="22"/>
          <w:szCs w:val="22"/>
        </w:rPr>
      </w:pPr>
    </w:p>
    <w:p w:rsidR="00727C56" w:rsidRPr="00727C56" w:rsidRDefault="00727C56" w:rsidP="00727C56">
      <w:pPr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lastRenderedPageBreak/>
        <w:t>Το Κοινοτικό Συμβούλιο</w:t>
      </w:r>
      <w:r w:rsidRPr="00727C56">
        <w:rPr>
          <w:color w:val="365F91" w:themeColor="accent1" w:themeShade="BF"/>
          <w:sz w:val="22"/>
          <w:szCs w:val="22"/>
        </w:rPr>
        <w:t xml:space="preserve"> που είναι «διαχειριστής» παρουσιάζει τις δαπάνες για ολόκληρο το σύμπλεγμα στον Προϋπολογισμό του στον </w:t>
      </w:r>
      <w:r w:rsidRPr="00727C56">
        <w:rPr>
          <w:i/>
          <w:color w:val="365F91" w:themeColor="accent1" w:themeShade="BF"/>
          <w:sz w:val="22"/>
          <w:szCs w:val="22"/>
        </w:rPr>
        <w:t>Πίνακα Α3 Πληρωμές</w:t>
      </w:r>
      <w:r w:rsidRPr="00727C56">
        <w:rPr>
          <w:color w:val="365F91" w:themeColor="accent1" w:themeShade="BF"/>
          <w:sz w:val="22"/>
          <w:szCs w:val="22"/>
        </w:rPr>
        <w:t xml:space="preserve"> και αναγνωρίζει αντίστοιχα στις ολόκληρο τ</w:t>
      </w:r>
      <w:r>
        <w:rPr>
          <w:color w:val="365F91" w:themeColor="accent1" w:themeShade="BF"/>
          <w:sz w:val="22"/>
          <w:szCs w:val="22"/>
        </w:rPr>
        <w:t>ο ποσό της Κρατικής Χορηγίας («Ά</w:t>
      </w:r>
      <w:r w:rsidRPr="00727C56">
        <w:rPr>
          <w:color w:val="365F91" w:themeColor="accent1" w:themeShade="BF"/>
          <w:sz w:val="22"/>
          <w:szCs w:val="22"/>
        </w:rPr>
        <w:t>λλες Κρατικές Χορηγίες») κ</w:t>
      </w:r>
      <w:r>
        <w:rPr>
          <w:color w:val="365F91" w:themeColor="accent1" w:themeShade="BF"/>
          <w:sz w:val="22"/>
          <w:szCs w:val="22"/>
        </w:rPr>
        <w:t>αι</w:t>
      </w:r>
      <w:r w:rsidRPr="00727C56">
        <w:rPr>
          <w:color w:val="365F91" w:themeColor="accent1" w:themeShade="BF"/>
          <w:sz w:val="22"/>
          <w:szCs w:val="22"/>
        </w:rPr>
        <w:t xml:space="preserve"> των Εισπράξεων από τις άλλες Κοινότητες («Δικαιώματα παροχής υπηρεσιών σε άλλα Κ.Σ.») στ</w:t>
      </w:r>
      <w:r>
        <w:rPr>
          <w:color w:val="365F91" w:themeColor="accent1" w:themeShade="BF"/>
          <w:sz w:val="22"/>
          <w:szCs w:val="22"/>
        </w:rPr>
        <w:t>ον</w:t>
      </w:r>
      <w:r w:rsidRPr="00727C56">
        <w:rPr>
          <w:color w:val="365F91" w:themeColor="accent1" w:themeShade="BF"/>
          <w:sz w:val="22"/>
          <w:szCs w:val="22"/>
        </w:rPr>
        <w:t xml:space="preserve"> </w:t>
      </w:r>
      <w:r w:rsidRPr="00727C56">
        <w:rPr>
          <w:i/>
          <w:color w:val="365F91" w:themeColor="accent1" w:themeShade="BF"/>
          <w:sz w:val="22"/>
          <w:szCs w:val="22"/>
        </w:rPr>
        <w:t>Πίνακα Α2 Εισπράξεις</w:t>
      </w:r>
      <w:r w:rsidRPr="00727C56">
        <w:rPr>
          <w:color w:val="365F91" w:themeColor="accent1" w:themeShade="BF"/>
          <w:sz w:val="22"/>
          <w:szCs w:val="22"/>
        </w:rPr>
        <w:t xml:space="preserve">. </w:t>
      </w:r>
    </w:p>
    <w:p w:rsidR="00727C56" w:rsidRPr="00727C56" w:rsidRDefault="00727C56" w:rsidP="00727C56">
      <w:pPr>
        <w:jc w:val="both"/>
        <w:rPr>
          <w:color w:val="365F91" w:themeColor="accent1" w:themeShade="BF"/>
          <w:sz w:val="22"/>
          <w:szCs w:val="22"/>
        </w:rPr>
      </w:pPr>
      <w:r w:rsidRPr="00727C56">
        <w:rPr>
          <w:color w:val="365F91" w:themeColor="accent1" w:themeShade="BF"/>
          <w:sz w:val="22"/>
          <w:szCs w:val="22"/>
        </w:rPr>
        <w:t xml:space="preserve">Σε περίπτωση που εκδίδει επιταγές προς τα υπόλοιπα Κ.Σ. του συμπλέγματος για κατανομή της Κρατικής Χορηγίας, οι πληρωμές αυτές θα παρουσιάζονται ως «Εισφορές σε άλλους οργανισμούς για σκοπούς λειτουργίας» του </w:t>
      </w:r>
      <w:r w:rsidRPr="00727C56">
        <w:rPr>
          <w:i/>
          <w:color w:val="365F91" w:themeColor="accent1" w:themeShade="BF"/>
          <w:sz w:val="22"/>
          <w:szCs w:val="22"/>
        </w:rPr>
        <w:t>Πίνακα Α3 Πληρωμές</w:t>
      </w:r>
      <w:r w:rsidRPr="00727C56">
        <w:rPr>
          <w:color w:val="365F91" w:themeColor="accent1" w:themeShade="BF"/>
          <w:sz w:val="22"/>
          <w:szCs w:val="22"/>
        </w:rPr>
        <w:t>.</w:t>
      </w:r>
    </w:p>
    <w:p w:rsidR="00727C56" w:rsidRPr="00727C56" w:rsidRDefault="00727C56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727C56" w:rsidRPr="00727C56" w:rsidRDefault="00727C56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F06309" w:rsidRDefault="00F06309" w:rsidP="007B60CC">
      <w:pPr>
        <w:jc w:val="both"/>
        <w:rPr>
          <w:color w:val="365F91" w:themeColor="accent1" w:themeShade="BF"/>
          <w:sz w:val="22"/>
          <w:szCs w:val="22"/>
        </w:rPr>
      </w:pPr>
    </w:p>
    <w:p w:rsidR="004510E5" w:rsidRPr="003A35AD" w:rsidRDefault="004510E5" w:rsidP="007B60CC">
      <w:pPr>
        <w:jc w:val="both"/>
        <w:rPr>
          <w:i/>
          <w:color w:val="365F91" w:themeColor="accent1" w:themeShade="BF"/>
          <w:sz w:val="22"/>
          <w:szCs w:val="22"/>
        </w:rPr>
      </w:pPr>
    </w:p>
    <w:sectPr w:rsidR="004510E5" w:rsidRPr="003A35AD" w:rsidSect="00C5666B">
      <w:footerReference w:type="default" r:id="rId7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305" w:rsidRDefault="00CC2305" w:rsidP="007D0032">
      <w:pPr>
        <w:spacing w:line="240" w:lineRule="auto"/>
      </w:pPr>
      <w:r>
        <w:separator/>
      </w:r>
    </w:p>
  </w:endnote>
  <w:endnote w:type="continuationSeparator" w:id="0">
    <w:p w:rsidR="00CC2305" w:rsidRDefault="00CC2305" w:rsidP="007D0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189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01ABB" w:rsidRPr="007D0032" w:rsidRDefault="00E80BAC">
        <w:pPr>
          <w:pStyle w:val="Footer"/>
          <w:jc w:val="center"/>
          <w:rPr>
            <w:sz w:val="20"/>
          </w:rPr>
        </w:pPr>
        <w:r w:rsidRPr="00BE2A52">
          <w:rPr>
            <w:sz w:val="20"/>
          </w:rPr>
          <w:fldChar w:fldCharType="begin"/>
        </w:r>
        <w:r w:rsidR="00BE2A52" w:rsidRPr="00BE2A52">
          <w:rPr>
            <w:sz w:val="20"/>
          </w:rPr>
          <w:instrText xml:space="preserve"> PAGE   \* MERGEFORMAT </w:instrText>
        </w:r>
        <w:r w:rsidRPr="00BE2A52">
          <w:rPr>
            <w:sz w:val="20"/>
          </w:rPr>
          <w:fldChar w:fldCharType="separate"/>
        </w:r>
        <w:r w:rsidR="00DC4F9B">
          <w:rPr>
            <w:noProof/>
            <w:sz w:val="20"/>
          </w:rPr>
          <w:t>1</w:t>
        </w:r>
        <w:r w:rsidRPr="00BE2A52">
          <w:rPr>
            <w:sz w:val="20"/>
          </w:rPr>
          <w:fldChar w:fldCharType="end"/>
        </w:r>
      </w:p>
    </w:sdtContent>
  </w:sdt>
  <w:p w:rsidR="00F01ABB" w:rsidRDefault="00F01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305" w:rsidRDefault="00CC2305" w:rsidP="007D0032">
      <w:pPr>
        <w:spacing w:line="240" w:lineRule="auto"/>
      </w:pPr>
      <w:r>
        <w:separator/>
      </w:r>
    </w:p>
  </w:footnote>
  <w:footnote w:type="continuationSeparator" w:id="0">
    <w:p w:rsidR="00CC2305" w:rsidRDefault="00CC2305" w:rsidP="007D00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66B"/>
    <w:rsid w:val="00021361"/>
    <w:rsid w:val="000546BD"/>
    <w:rsid w:val="000742CC"/>
    <w:rsid w:val="000925A8"/>
    <w:rsid w:val="000D4663"/>
    <w:rsid w:val="000F7128"/>
    <w:rsid w:val="0012509A"/>
    <w:rsid w:val="00126B1F"/>
    <w:rsid w:val="001D6880"/>
    <w:rsid w:val="002531EA"/>
    <w:rsid w:val="002D18A2"/>
    <w:rsid w:val="00313042"/>
    <w:rsid w:val="00323FF4"/>
    <w:rsid w:val="0035364C"/>
    <w:rsid w:val="00355AB6"/>
    <w:rsid w:val="00364C9C"/>
    <w:rsid w:val="003A35AD"/>
    <w:rsid w:val="003A4389"/>
    <w:rsid w:val="003B0FEA"/>
    <w:rsid w:val="003D0412"/>
    <w:rsid w:val="00401ECF"/>
    <w:rsid w:val="00423152"/>
    <w:rsid w:val="00431F00"/>
    <w:rsid w:val="004510E5"/>
    <w:rsid w:val="00495414"/>
    <w:rsid w:val="0050356D"/>
    <w:rsid w:val="005171BE"/>
    <w:rsid w:val="005272FA"/>
    <w:rsid w:val="005554FD"/>
    <w:rsid w:val="005656C5"/>
    <w:rsid w:val="00565F94"/>
    <w:rsid w:val="005F3BD0"/>
    <w:rsid w:val="00602627"/>
    <w:rsid w:val="00617A26"/>
    <w:rsid w:val="0064437C"/>
    <w:rsid w:val="00683EA3"/>
    <w:rsid w:val="0069273B"/>
    <w:rsid w:val="00710A7F"/>
    <w:rsid w:val="00727C56"/>
    <w:rsid w:val="00732D2A"/>
    <w:rsid w:val="007768DA"/>
    <w:rsid w:val="00782B80"/>
    <w:rsid w:val="007B60CC"/>
    <w:rsid w:val="007D0032"/>
    <w:rsid w:val="007D107A"/>
    <w:rsid w:val="007E1D35"/>
    <w:rsid w:val="00842017"/>
    <w:rsid w:val="0087164D"/>
    <w:rsid w:val="008C527E"/>
    <w:rsid w:val="008C5EA4"/>
    <w:rsid w:val="008D23DF"/>
    <w:rsid w:val="008E42CA"/>
    <w:rsid w:val="009126DB"/>
    <w:rsid w:val="009479DC"/>
    <w:rsid w:val="009A1847"/>
    <w:rsid w:val="009B4CDB"/>
    <w:rsid w:val="009E4FB2"/>
    <w:rsid w:val="00A17703"/>
    <w:rsid w:val="00A25FBC"/>
    <w:rsid w:val="00A3553F"/>
    <w:rsid w:val="00A46571"/>
    <w:rsid w:val="00A6212B"/>
    <w:rsid w:val="00A73767"/>
    <w:rsid w:val="00A76A76"/>
    <w:rsid w:val="00B118B0"/>
    <w:rsid w:val="00B828A2"/>
    <w:rsid w:val="00B85A59"/>
    <w:rsid w:val="00BC6877"/>
    <w:rsid w:val="00BE062E"/>
    <w:rsid w:val="00BE2A52"/>
    <w:rsid w:val="00BE7E16"/>
    <w:rsid w:val="00C13827"/>
    <w:rsid w:val="00C3477F"/>
    <w:rsid w:val="00C43C0E"/>
    <w:rsid w:val="00C5666B"/>
    <w:rsid w:val="00C9256D"/>
    <w:rsid w:val="00CB1733"/>
    <w:rsid w:val="00CC2305"/>
    <w:rsid w:val="00CF257A"/>
    <w:rsid w:val="00D4623B"/>
    <w:rsid w:val="00DC4F9B"/>
    <w:rsid w:val="00E00772"/>
    <w:rsid w:val="00E0643C"/>
    <w:rsid w:val="00E162B8"/>
    <w:rsid w:val="00E17A80"/>
    <w:rsid w:val="00E25A68"/>
    <w:rsid w:val="00E72867"/>
    <w:rsid w:val="00E80BAC"/>
    <w:rsid w:val="00E817EF"/>
    <w:rsid w:val="00EC4A17"/>
    <w:rsid w:val="00ED76AF"/>
    <w:rsid w:val="00EE0AAE"/>
    <w:rsid w:val="00F01ABB"/>
    <w:rsid w:val="00F06309"/>
    <w:rsid w:val="00F51640"/>
    <w:rsid w:val="00F94458"/>
    <w:rsid w:val="00FF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0032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0032"/>
  </w:style>
  <w:style w:type="paragraph" w:styleId="Footer">
    <w:name w:val="footer"/>
    <w:basedOn w:val="Normal"/>
    <w:link w:val="FooterChar"/>
    <w:uiPriority w:val="99"/>
    <w:unhideWhenUsed/>
    <w:rsid w:val="007D0032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241C9-699C-4CBF-877B-E63EE767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try190210505</cp:lastModifiedBy>
  <cp:revision>2</cp:revision>
  <cp:lastPrinted>2014-09-29T09:00:00Z</cp:lastPrinted>
  <dcterms:created xsi:type="dcterms:W3CDTF">2016-01-05T06:44:00Z</dcterms:created>
  <dcterms:modified xsi:type="dcterms:W3CDTF">2016-01-05T06:44:00Z</dcterms:modified>
</cp:coreProperties>
</file>